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36089" w14:textId="1A2C7198" w:rsidR="0059018E" w:rsidRPr="00B417A3" w:rsidRDefault="00091969" w:rsidP="00091969">
      <w:pPr>
        <w:pStyle w:val="Titre3"/>
        <w:jc w:val="center"/>
        <w:rPr>
          <w:rFonts w:eastAsia="Times New Roman"/>
          <w:sz w:val="28"/>
          <w:szCs w:val="28"/>
        </w:rPr>
      </w:pPr>
      <w:r w:rsidRPr="00B417A3">
        <w:rPr>
          <w:rStyle w:val="lev"/>
          <w:rFonts w:eastAsia="Times New Roman"/>
          <w:b w:val="0"/>
          <w:bCs w:val="0"/>
          <w:sz w:val="28"/>
          <w:szCs w:val="28"/>
        </w:rPr>
        <w:t>PLAN D'ARCHIVAGE DES DOSSIERS</w:t>
      </w:r>
    </w:p>
    <w:p w14:paraId="66DB437B" w14:textId="77777777" w:rsidR="0059018E" w:rsidRDefault="0059018E">
      <w:pPr>
        <w:pStyle w:val="Titre4"/>
        <w:rPr>
          <w:rFonts w:eastAsia="Times New Roman"/>
        </w:rPr>
      </w:pPr>
      <w:r>
        <w:rPr>
          <w:rStyle w:val="lev"/>
          <w:rFonts w:eastAsia="Times New Roman"/>
          <w:b w:val="0"/>
          <w:bCs w:val="0"/>
        </w:rPr>
        <w:t>1. Introduction</w:t>
      </w:r>
    </w:p>
    <w:p w14:paraId="04B8AC1D" w14:textId="77777777" w:rsidR="0059018E" w:rsidRDefault="0059018E">
      <w:pPr>
        <w:pStyle w:val="NormalWeb"/>
      </w:pPr>
      <w:r>
        <w:t>L’objectif de ce plan d’archivage est de définir les règles de gestion des documents, leur cycle de vie, leur mode de conservation et leur accessibilité afin d’assurer une gestion efficace des archives.</w:t>
      </w:r>
    </w:p>
    <w:p w14:paraId="3BAF93A0" w14:textId="77777777" w:rsidR="0059018E" w:rsidRDefault="0059018E">
      <w:pPr>
        <w:pStyle w:val="Titre4"/>
        <w:rPr>
          <w:rFonts w:eastAsia="Times New Roman"/>
        </w:rPr>
      </w:pPr>
      <w:r>
        <w:rPr>
          <w:rStyle w:val="lev"/>
          <w:rFonts w:eastAsia="Times New Roman"/>
          <w:b w:val="0"/>
          <w:bCs w:val="0"/>
        </w:rPr>
        <w:t>2. Typologie des Dossiers</w:t>
      </w:r>
    </w:p>
    <w:p w14:paraId="59BF38B7" w14:textId="77777777" w:rsidR="0059018E" w:rsidRDefault="0059018E">
      <w:pPr>
        <w:pStyle w:val="NormalWeb"/>
      </w:pPr>
      <w:r>
        <w:t>Les dossiers sont classés en fonction de leur nature et de leur importance :</w:t>
      </w:r>
    </w:p>
    <w:p w14:paraId="17EFAB49" w14:textId="77777777" w:rsidR="0059018E" w:rsidRDefault="0059018E" w:rsidP="0059018E">
      <w:pPr>
        <w:numPr>
          <w:ilvl w:val="0"/>
          <w:numId w:val="3"/>
        </w:numPr>
        <w:spacing w:before="100" w:beforeAutospacing="1" w:after="100" w:afterAutospacing="1" w:line="240" w:lineRule="auto"/>
        <w:rPr>
          <w:rFonts w:eastAsia="Times New Roman"/>
        </w:rPr>
      </w:pPr>
      <w:r>
        <w:rPr>
          <w:rStyle w:val="lev"/>
          <w:rFonts w:eastAsia="Times New Roman"/>
        </w:rPr>
        <w:t>Dossiers administratifs</w:t>
      </w:r>
      <w:r>
        <w:rPr>
          <w:rFonts w:eastAsia="Times New Roman"/>
        </w:rPr>
        <w:t xml:space="preserve"> (correspondances, décisions, rapports)</w:t>
      </w:r>
    </w:p>
    <w:p w14:paraId="608ACB16" w14:textId="16B46370" w:rsidR="0059018E" w:rsidRDefault="0059018E" w:rsidP="0059018E">
      <w:pPr>
        <w:numPr>
          <w:ilvl w:val="0"/>
          <w:numId w:val="3"/>
        </w:numPr>
        <w:spacing w:before="100" w:beforeAutospacing="1" w:after="100" w:afterAutospacing="1" w:line="240" w:lineRule="auto"/>
        <w:rPr>
          <w:rFonts w:eastAsia="Times New Roman"/>
        </w:rPr>
      </w:pPr>
      <w:r>
        <w:rPr>
          <w:rStyle w:val="lev"/>
          <w:rFonts w:eastAsia="Times New Roman"/>
        </w:rPr>
        <w:t xml:space="preserve">Dossiers comptables </w:t>
      </w:r>
      <w:r w:rsidR="00091969">
        <w:rPr>
          <w:rStyle w:val="lev"/>
          <w:rFonts w:eastAsia="Times New Roman"/>
        </w:rPr>
        <w:t>et exportations</w:t>
      </w:r>
      <w:r>
        <w:rPr>
          <w:rFonts w:eastAsia="Times New Roman"/>
        </w:rPr>
        <w:t xml:space="preserve"> (factures,</w:t>
      </w:r>
      <w:r w:rsidR="00091969">
        <w:rPr>
          <w:rFonts w:eastAsia="Times New Roman"/>
        </w:rPr>
        <w:t xml:space="preserve"> </w:t>
      </w:r>
      <w:r>
        <w:rPr>
          <w:rFonts w:eastAsia="Times New Roman"/>
        </w:rPr>
        <w:t>déclarations fiscales</w:t>
      </w:r>
      <w:r w:rsidR="00091969">
        <w:rPr>
          <w:rFonts w:eastAsia="Times New Roman"/>
        </w:rPr>
        <w:t>,</w:t>
      </w:r>
      <w:r w:rsidR="00091969">
        <w:rPr>
          <w:rFonts w:eastAsia="Times New Roman"/>
        </w:rPr>
        <w:t xml:space="preserve"> dossiers export)</w:t>
      </w:r>
    </w:p>
    <w:p w14:paraId="11B39649" w14:textId="133A48FB" w:rsidR="0059018E" w:rsidRPr="00091969" w:rsidRDefault="0059018E" w:rsidP="00091969">
      <w:pPr>
        <w:numPr>
          <w:ilvl w:val="0"/>
          <w:numId w:val="3"/>
        </w:numPr>
        <w:spacing w:before="100" w:beforeAutospacing="1" w:after="100" w:afterAutospacing="1" w:line="240" w:lineRule="auto"/>
        <w:rPr>
          <w:rFonts w:eastAsia="Times New Roman"/>
        </w:rPr>
      </w:pPr>
      <w:r>
        <w:rPr>
          <w:rStyle w:val="lev"/>
          <w:rFonts w:eastAsia="Times New Roman"/>
        </w:rPr>
        <w:t>Dossiers juridiques</w:t>
      </w:r>
      <w:r>
        <w:rPr>
          <w:rFonts w:eastAsia="Times New Roman"/>
        </w:rPr>
        <w:t xml:space="preserve"> (contrats, procès-verbaux, contentieux)</w:t>
      </w:r>
    </w:p>
    <w:p w14:paraId="3199187B" w14:textId="77777777" w:rsidR="0059018E" w:rsidRDefault="0059018E" w:rsidP="0059018E">
      <w:pPr>
        <w:numPr>
          <w:ilvl w:val="0"/>
          <w:numId w:val="3"/>
        </w:numPr>
        <w:spacing w:before="100" w:beforeAutospacing="1" w:after="100" w:afterAutospacing="1" w:line="240" w:lineRule="auto"/>
        <w:rPr>
          <w:rFonts w:eastAsia="Times New Roman"/>
        </w:rPr>
      </w:pPr>
      <w:r>
        <w:rPr>
          <w:rStyle w:val="lev"/>
          <w:rFonts w:eastAsia="Times New Roman"/>
        </w:rPr>
        <w:t>Dossiers des ressources humaines</w:t>
      </w:r>
      <w:r>
        <w:rPr>
          <w:rFonts w:eastAsia="Times New Roman"/>
        </w:rPr>
        <w:t xml:space="preserve"> (contrats de travail, bulletins de paie)</w:t>
      </w:r>
    </w:p>
    <w:p w14:paraId="594CF5BB" w14:textId="77777777" w:rsidR="0059018E" w:rsidRDefault="0059018E">
      <w:pPr>
        <w:pStyle w:val="Titre4"/>
        <w:rPr>
          <w:rFonts w:eastAsia="Times New Roman"/>
        </w:rPr>
      </w:pPr>
      <w:r>
        <w:rPr>
          <w:rStyle w:val="lev"/>
          <w:rFonts w:eastAsia="Times New Roman"/>
          <w:b w:val="0"/>
          <w:bCs w:val="0"/>
        </w:rPr>
        <w:t>3. Cycle de Vie des Documents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2140"/>
        <w:gridCol w:w="2584"/>
        <w:gridCol w:w="2539"/>
      </w:tblGrid>
      <w:tr w:rsidR="0059018E" w14:paraId="2BDCA06D" w14:textId="77777777" w:rsidTr="00091969">
        <w:trPr>
          <w:tblHeader/>
          <w:tblCellSpacing w:w="15" w:type="dxa"/>
        </w:trPr>
        <w:tc>
          <w:tcPr>
            <w:tcW w:w="0" w:type="auto"/>
            <w:vAlign w:val="center"/>
            <w:hideMark/>
          </w:tcPr>
          <w:p w14:paraId="787BF8F9" w14:textId="77777777" w:rsidR="0059018E" w:rsidRDefault="0059018E">
            <w:pPr>
              <w:jc w:val="center"/>
              <w:rPr>
                <w:rFonts w:eastAsia="Times New Roman"/>
                <w:b/>
                <w:bCs/>
              </w:rPr>
            </w:pPr>
            <w:r>
              <w:rPr>
                <w:rFonts w:eastAsia="Times New Roman"/>
                <w:b/>
                <w:bCs/>
              </w:rPr>
              <w:t>Type de dossier</w:t>
            </w:r>
          </w:p>
        </w:tc>
        <w:tc>
          <w:tcPr>
            <w:tcW w:w="0" w:type="auto"/>
            <w:vAlign w:val="center"/>
            <w:hideMark/>
          </w:tcPr>
          <w:p w14:paraId="470B53D4" w14:textId="77777777" w:rsidR="0059018E" w:rsidRDefault="0059018E">
            <w:pPr>
              <w:jc w:val="center"/>
              <w:rPr>
                <w:rFonts w:eastAsia="Times New Roman"/>
                <w:b/>
                <w:bCs/>
              </w:rPr>
            </w:pPr>
            <w:r>
              <w:rPr>
                <w:rFonts w:eastAsia="Times New Roman"/>
                <w:b/>
                <w:bCs/>
              </w:rPr>
              <w:t>Durée de conservation active</w:t>
            </w:r>
          </w:p>
        </w:tc>
        <w:tc>
          <w:tcPr>
            <w:tcW w:w="0" w:type="auto"/>
            <w:vAlign w:val="center"/>
            <w:hideMark/>
          </w:tcPr>
          <w:p w14:paraId="189BD119" w14:textId="77777777" w:rsidR="0059018E" w:rsidRDefault="0059018E">
            <w:pPr>
              <w:jc w:val="center"/>
              <w:rPr>
                <w:rFonts w:eastAsia="Times New Roman"/>
                <w:b/>
                <w:bCs/>
              </w:rPr>
            </w:pPr>
            <w:r>
              <w:rPr>
                <w:rFonts w:eastAsia="Times New Roman"/>
                <w:b/>
                <w:bCs/>
              </w:rPr>
              <w:t>Durée de conservation intermédiaire</w:t>
            </w:r>
          </w:p>
        </w:tc>
        <w:tc>
          <w:tcPr>
            <w:tcW w:w="0" w:type="auto"/>
            <w:vAlign w:val="center"/>
            <w:hideMark/>
          </w:tcPr>
          <w:p w14:paraId="2CB160D5" w14:textId="77777777" w:rsidR="0059018E" w:rsidRDefault="0059018E">
            <w:pPr>
              <w:jc w:val="center"/>
              <w:rPr>
                <w:rFonts w:eastAsia="Times New Roman"/>
                <w:b/>
                <w:bCs/>
              </w:rPr>
            </w:pPr>
            <w:r>
              <w:rPr>
                <w:rFonts w:eastAsia="Times New Roman"/>
                <w:b/>
                <w:bCs/>
              </w:rPr>
              <w:t>Archivage définitif ou destruction</w:t>
            </w:r>
          </w:p>
        </w:tc>
      </w:tr>
      <w:tr w:rsidR="0059018E" w14:paraId="6C754FD5" w14:textId="77777777" w:rsidTr="00091969">
        <w:trPr>
          <w:tblCellSpacing w:w="15" w:type="dxa"/>
        </w:trPr>
        <w:tc>
          <w:tcPr>
            <w:tcW w:w="0" w:type="auto"/>
            <w:vAlign w:val="center"/>
            <w:hideMark/>
          </w:tcPr>
          <w:p w14:paraId="4A032F4B" w14:textId="77777777" w:rsidR="0059018E" w:rsidRDefault="0059018E">
            <w:pPr>
              <w:rPr>
                <w:rFonts w:eastAsia="Times New Roman"/>
              </w:rPr>
            </w:pPr>
            <w:r>
              <w:rPr>
                <w:rFonts w:eastAsia="Times New Roman"/>
              </w:rPr>
              <w:t>Dossiers administratifs</w:t>
            </w:r>
          </w:p>
        </w:tc>
        <w:tc>
          <w:tcPr>
            <w:tcW w:w="0" w:type="auto"/>
            <w:vAlign w:val="center"/>
            <w:hideMark/>
          </w:tcPr>
          <w:p w14:paraId="773A24D6" w14:textId="77777777" w:rsidR="0059018E" w:rsidRDefault="0059018E">
            <w:pPr>
              <w:rPr>
                <w:rFonts w:eastAsia="Times New Roman"/>
              </w:rPr>
            </w:pPr>
            <w:r>
              <w:rPr>
                <w:rFonts w:eastAsia="Times New Roman"/>
              </w:rPr>
              <w:t>5 ans</w:t>
            </w:r>
          </w:p>
        </w:tc>
        <w:tc>
          <w:tcPr>
            <w:tcW w:w="0" w:type="auto"/>
            <w:vAlign w:val="center"/>
            <w:hideMark/>
          </w:tcPr>
          <w:p w14:paraId="0CA428B8" w14:textId="77777777" w:rsidR="0059018E" w:rsidRDefault="0059018E">
            <w:pPr>
              <w:rPr>
                <w:rFonts w:eastAsia="Times New Roman"/>
              </w:rPr>
            </w:pPr>
            <w:r>
              <w:rPr>
                <w:rFonts w:eastAsia="Times New Roman"/>
              </w:rPr>
              <w:t>5 ans</w:t>
            </w:r>
          </w:p>
        </w:tc>
        <w:tc>
          <w:tcPr>
            <w:tcW w:w="0" w:type="auto"/>
            <w:vAlign w:val="center"/>
            <w:hideMark/>
          </w:tcPr>
          <w:p w14:paraId="10BAE1CE" w14:textId="77777777" w:rsidR="0059018E" w:rsidRDefault="0059018E">
            <w:pPr>
              <w:rPr>
                <w:rFonts w:eastAsia="Times New Roman"/>
              </w:rPr>
            </w:pPr>
            <w:r>
              <w:rPr>
                <w:rFonts w:eastAsia="Times New Roman"/>
              </w:rPr>
              <w:t>Élimination sélective</w:t>
            </w:r>
          </w:p>
        </w:tc>
      </w:tr>
      <w:tr w:rsidR="0059018E" w14:paraId="10F3B082" w14:textId="77777777" w:rsidTr="00091969">
        <w:trPr>
          <w:tblCellSpacing w:w="15" w:type="dxa"/>
        </w:trPr>
        <w:tc>
          <w:tcPr>
            <w:tcW w:w="0" w:type="auto"/>
            <w:vAlign w:val="center"/>
            <w:hideMark/>
          </w:tcPr>
          <w:p w14:paraId="6B84A0D4" w14:textId="77777777" w:rsidR="0059018E" w:rsidRDefault="0059018E">
            <w:pPr>
              <w:rPr>
                <w:rFonts w:eastAsia="Times New Roman"/>
              </w:rPr>
            </w:pPr>
            <w:r>
              <w:rPr>
                <w:rFonts w:eastAsia="Times New Roman"/>
              </w:rPr>
              <w:t>Dossiers comptables</w:t>
            </w:r>
          </w:p>
        </w:tc>
        <w:tc>
          <w:tcPr>
            <w:tcW w:w="0" w:type="auto"/>
            <w:vAlign w:val="center"/>
            <w:hideMark/>
          </w:tcPr>
          <w:p w14:paraId="5A1AC7FF" w14:textId="77777777" w:rsidR="0059018E" w:rsidRDefault="0059018E">
            <w:pPr>
              <w:rPr>
                <w:rFonts w:eastAsia="Times New Roman"/>
              </w:rPr>
            </w:pPr>
            <w:r>
              <w:rPr>
                <w:rFonts w:eastAsia="Times New Roman"/>
              </w:rPr>
              <w:t>10 ans</w:t>
            </w:r>
          </w:p>
        </w:tc>
        <w:tc>
          <w:tcPr>
            <w:tcW w:w="0" w:type="auto"/>
            <w:vAlign w:val="center"/>
            <w:hideMark/>
          </w:tcPr>
          <w:p w14:paraId="50775987" w14:textId="77777777" w:rsidR="0059018E" w:rsidRDefault="0059018E">
            <w:pPr>
              <w:rPr>
                <w:rFonts w:eastAsia="Times New Roman"/>
              </w:rPr>
            </w:pPr>
            <w:r>
              <w:rPr>
                <w:rFonts w:eastAsia="Times New Roman"/>
              </w:rPr>
              <w:t>5 ans</w:t>
            </w:r>
          </w:p>
        </w:tc>
        <w:tc>
          <w:tcPr>
            <w:tcW w:w="0" w:type="auto"/>
            <w:vAlign w:val="center"/>
            <w:hideMark/>
          </w:tcPr>
          <w:p w14:paraId="0DB26C5C" w14:textId="77777777" w:rsidR="0059018E" w:rsidRDefault="0059018E">
            <w:pPr>
              <w:rPr>
                <w:rFonts w:eastAsia="Times New Roman"/>
              </w:rPr>
            </w:pPr>
            <w:r>
              <w:rPr>
                <w:rFonts w:eastAsia="Times New Roman"/>
              </w:rPr>
              <w:t>Élimination ou conservation sélective</w:t>
            </w:r>
          </w:p>
        </w:tc>
      </w:tr>
      <w:tr w:rsidR="0059018E" w14:paraId="5EA42E4D" w14:textId="77777777" w:rsidTr="00091969">
        <w:trPr>
          <w:tblCellSpacing w:w="15" w:type="dxa"/>
        </w:trPr>
        <w:tc>
          <w:tcPr>
            <w:tcW w:w="0" w:type="auto"/>
            <w:vAlign w:val="center"/>
            <w:hideMark/>
          </w:tcPr>
          <w:p w14:paraId="6FC72FB5" w14:textId="77777777" w:rsidR="0059018E" w:rsidRDefault="0059018E">
            <w:pPr>
              <w:rPr>
                <w:rFonts w:eastAsia="Times New Roman"/>
              </w:rPr>
            </w:pPr>
            <w:r>
              <w:rPr>
                <w:rFonts w:eastAsia="Times New Roman"/>
              </w:rPr>
              <w:t>Dossiers juridiques</w:t>
            </w:r>
          </w:p>
        </w:tc>
        <w:tc>
          <w:tcPr>
            <w:tcW w:w="0" w:type="auto"/>
            <w:vAlign w:val="center"/>
            <w:hideMark/>
          </w:tcPr>
          <w:p w14:paraId="477E33B5" w14:textId="77777777" w:rsidR="0059018E" w:rsidRDefault="0059018E">
            <w:pPr>
              <w:rPr>
                <w:rFonts w:eastAsia="Times New Roman"/>
              </w:rPr>
            </w:pPr>
            <w:r>
              <w:rPr>
                <w:rFonts w:eastAsia="Times New Roman"/>
              </w:rPr>
              <w:t>10 ans</w:t>
            </w:r>
          </w:p>
        </w:tc>
        <w:tc>
          <w:tcPr>
            <w:tcW w:w="0" w:type="auto"/>
            <w:vAlign w:val="center"/>
            <w:hideMark/>
          </w:tcPr>
          <w:p w14:paraId="4F927175" w14:textId="77777777" w:rsidR="0059018E" w:rsidRDefault="0059018E">
            <w:pPr>
              <w:rPr>
                <w:rFonts w:eastAsia="Times New Roman"/>
              </w:rPr>
            </w:pPr>
            <w:r>
              <w:rPr>
                <w:rFonts w:eastAsia="Times New Roman"/>
              </w:rPr>
              <w:t>10 ans</w:t>
            </w:r>
          </w:p>
        </w:tc>
        <w:tc>
          <w:tcPr>
            <w:tcW w:w="0" w:type="auto"/>
            <w:vAlign w:val="center"/>
            <w:hideMark/>
          </w:tcPr>
          <w:p w14:paraId="40177304" w14:textId="77777777" w:rsidR="0059018E" w:rsidRDefault="0059018E">
            <w:pPr>
              <w:rPr>
                <w:rFonts w:eastAsia="Times New Roman"/>
              </w:rPr>
            </w:pPr>
            <w:r>
              <w:rPr>
                <w:rFonts w:eastAsia="Times New Roman"/>
              </w:rPr>
              <w:t>Archivage définitif</w:t>
            </w:r>
          </w:p>
        </w:tc>
      </w:tr>
      <w:tr w:rsidR="0059018E" w14:paraId="00452F7D" w14:textId="77777777" w:rsidTr="00091969">
        <w:trPr>
          <w:tblCellSpacing w:w="15" w:type="dxa"/>
        </w:trPr>
        <w:tc>
          <w:tcPr>
            <w:tcW w:w="0" w:type="auto"/>
            <w:vAlign w:val="center"/>
            <w:hideMark/>
          </w:tcPr>
          <w:p w14:paraId="5B91359C" w14:textId="77777777" w:rsidR="0059018E" w:rsidRDefault="0059018E">
            <w:pPr>
              <w:rPr>
                <w:rFonts w:eastAsia="Times New Roman"/>
              </w:rPr>
            </w:pPr>
            <w:r>
              <w:rPr>
                <w:rFonts w:eastAsia="Times New Roman"/>
              </w:rPr>
              <w:t>Dossiers RH (salariés)</w:t>
            </w:r>
          </w:p>
        </w:tc>
        <w:tc>
          <w:tcPr>
            <w:tcW w:w="0" w:type="auto"/>
            <w:vAlign w:val="center"/>
            <w:hideMark/>
          </w:tcPr>
          <w:p w14:paraId="6CC28241" w14:textId="77777777" w:rsidR="0059018E" w:rsidRDefault="0059018E">
            <w:pPr>
              <w:rPr>
                <w:rFonts w:eastAsia="Times New Roman"/>
              </w:rPr>
            </w:pPr>
            <w:r>
              <w:rPr>
                <w:rFonts w:eastAsia="Times New Roman"/>
              </w:rPr>
              <w:t>Durée du contrat + 5 ans</w:t>
            </w:r>
          </w:p>
        </w:tc>
        <w:tc>
          <w:tcPr>
            <w:tcW w:w="0" w:type="auto"/>
            <w:vAlign w:val="center"/>
            <w:hideMark/>
          </w:tcPr>
          <w:p w14:paraId="7D0BD69E" w14:textId="77777777" w:rsidR="0059018E" w:rsidRDefault="0059018E">
            <w:pPr>
              <w:rPr>
                <w:rFonts w:eastAsia="Times New Roman"/>
              </w:rPr>
            </w:pPr>
            <w:r>
              <w:rPr>
                <w:rFonts w:eastAsia="Times New Roman"/>
              </w:rPr>
              <w:t>5 ans</w:t>
            </w:r>
          </w:p>
        </w:tc>
        <w:tc>
          <w:tcPr>
            <w:tcW w:w="0" w:type="auto"/>
            <w:vAlign w:val="center"/>
            <w:hideMark/>
          </w:tcPr>
          <w:p w14:paraId="4A3577E4" w14:textId="77777777" w:rsidR="0059018E" w:rsidRDefault="0059018E">
            <w:pPr>
              <w:rPr>
                <w:rFonts w:eastAsia="Times New Roman"/>
              </w:rPr>
            </w:pPr>
            <w:r>
              <w:rPr>
                <w:rFonts w:eastAsia="Times New Roman"/>
              </w:rPr>
              <w:t>Élimination sélective</w:t>
            </w:r>
          </w:p>
        </w:tc>
      </w:tr>
      <w:tr w:rsidR="0059018E" w14:paraId="3643BB4B" w14:textId="77777777" w:rsidTr="00091969">
        <w:trPr>
          <w:tblCellSpacing w:w="15" w:type="dxa"/>
        </w:trPr>
        <w:tc>
          <w:tcPr>
            <w:tcW w:w="0" w:type="auto"/>
            <w:vAlign w:val="center"/>
            <w:hideMark/>
          </w:tcPr>
          <w:p w14:paraId="793B70B9" w14:textId="77777777" w:rsidR="0059018E" w:rsidRDefault="0059018E">
            <w:pPr>
              <w:rPr>
                <w:rFonts w:eastAsia="Times New Roman"/>
              </w:rPr>
            </w:pPr>
            <w:r>
              <w:rPr>
                <w:rFonts w:eastAsia="Times New Roman"/>
              </w:rPr>
              <w:t>Dossiers techniques</w:t>
            </w:r>
          </w:p>
        </w:tc>
        <w:tc>
          <w:tcPr>
            <w:tcW w:w="0" w:type="auto"/>
            <w:vAlign w:val="center"/>
            <w:hideMark/>
          </w:tcPr>
          <w:p w14:paraId="786070C0" w14:textId="77777777" w:rsidR="0059018E" w:rsidRDefault="0059018E">
            <w:pPr>
              <w:rPr>
                <w:rFonts w:eastAsia="Times New Roman"/>
              </w:rPr>
            </w:pPr>
            <w:r>
              <w:rPr>
                <w:rFonts w:eastAsia="Times New Roman"/>
              </w:rPr>
              <w:t>10 ans</w:t>
            </w:r>
          </w:p>
        </w:tc>
        <w:tc>
          <w:tcPr>
            <w:tcW w:w="0" w:type="auto"/>
            <w:vAlign w:val="center"/>
            <w:hideMark/>
          </w:tcPr>
          <w:p w14:paraId="26D2749B" w14:textId="77777777" w:rsidR="0059018E" w:rsidRDefault="0059018E">
            <w:pPr>
              <w:rPr>
                <w:rFonts w:eastAsia="Times New Roman"/>
              </w:rPr>
            </w:pPr>
            <w:r>
              <w:rPr>
                <w:rFonts w:eastAsia="Times New Roman"/>
              </w:rPr>
              <w:t>10 ans</w:t>
            </w:r>
          </w:p>
        </w:tc>
        <w:tc>
          <w:tcPr>
            <w:tcW w:w="0" w:type="auto"/>
            <w:vAlign w:val="center"/>
            <w:hideMark/>
          </w:tcPr>
          <w:p w14:paraId="72D025B6" w14:textId="77777777" w:rsidR="0059018E" w:rsidRDefault="0059018E">
            <w:pPr>
              <w:rPr>
                <w:rFonts w:eastAsia="Times New Roman"/>
              </w:rPr>
            </w:pPr>
            <w:r>
              <w:rPr>
                <w:rFonts w:eastAsia="Times New Roman"/>
              </w:rPr>
              <w:t>Archivage définitif</w:t>
            </w:r>
          </w:p>
        </w:tc>
      </w:tr>
    </w:tbl>
    <w:p w14:paraId="5F74EF9B" w14:textId="77777777" w:rsidR="0059018E" w:rsidRDefault="0059018E">
      <w:pPr>
        <w:pStyle w:val="Titre4"/>
        <w:rPr>
          <w:rFonts w:eastAsia="Times New Roman"/>
        </w:rPr>
      </w:pPr>
      <w:r>
        <w:rPr>
          <w:rStyle w:val="lev"/>
          <w:rFonts w:eastAsia="Times New Roman"/>
          <w:b w:val="0"/>
          <w:bCs w:val="0"/>
        </w:rPr>
        <w:t>4. Modes d’Archivage</w:t>
      </w:r>
    </w:p>
    <w:p w14:paraId="2418F277" w14:textId="77777777" w:rsidR="0059018E" w:rsidRDefault="0059018E" w:rsidP="0059018E">
      <w:pPr>
        <w:numPr>
          <w:ilvl w:val="0"/>
          <w:numId w:val="4"/>
        </w:numPr>
        <w:spacing w:before="100" w:beforeAutospacing="1" w:after="100" w:afterAutospacing="1" w:line="240" w:lineRule="auto"/>
        <w:rPr>
          <w:rFonts w:eastAsia="Times New Roman"/>
        </w:rPr>
      </w:pPr>
      <w:r>
        <w:rPr>
          <w:rStyle w:val="lev"/>
          <w:rFonts w:eastAsia="Times New Roman"/>
        </w:rPr>
        <w:t>Archivage physique</w:t>
      </w:r>
      <w:r>
        <w:rPr>
          <w:rFonts w:eastAsia="Times New Roman"/>
        </w:rPr>
        <w:t xml:space="preserve"> : Classement dans des boîtes d’archives, armoires sécurisées.</w:t>
      </w:r>
    </w:p>
    <w:p w14:paraId="6C1A7AF2" w14:textId="77777777" w:rsidR="0059018E" w:rsidRDefault="0059018E" w:rsidP="0059018E">
      <w:pPr>
        <w:numPr>
          <w:ilvl w:val="0"/>
          <w:numId w:val="4"/>
        </w:numPr>
        <w:spacing w:before="100" w:beforeAutospacing="1" w:after="100" w:afterAutospacing="1" w:line="240" w:lineRule="auto"/>
        <w:rPr>
          <w:rFonts w:eastAsia="Times New Roman"/>
        </w:rPr>
      </w:pPr>
      <w:r>
        <w:rPr>
          <w:rStyle w:val="lev"/>
          <w:rFonts w:eastAsia="Times New Roman"/>
        </w:rPr>
        <w:t>Archivage numérique</w:t>
      </w:r>
      <w:r>
        <w:rPr>
          <w:rFonts w:eastAsia="Times New Roman"/>
        </w:rPr>
        <w:t xml:space="preserve"> : Numérisation des documents, stockage sur serveur sécurisé ou dans un système de gestion électronique des documents (GED).</w:t>
      </w:r>
    </w:p>
    <w:p w14:paraId="660BD247" w14:textId="597DAE2C" w:rsidR="0059018E" w:rsidRDefault="00091969">
      <w:pPr>
        <w:pStyle w:val="Titre4"/>
        <w:rPr>
          <w:rFonts w:eastAsia="Times New Roman"/>
        </w:rPr>
      </w:pPr>
      <w:r>
        <w:rPr>
          <w:rStyle w:val="lev"/>
          <w:rFonts w:eastAsia="Times New Roman"/>
          <w:b w:val="0"/>
          <w:bCs w:val="0"/>
        </w:rPr>
        <w:t>5</w:t>
      </w:r>
      <w:r w:rsidR="0059018E">
        <w:rPr>
          <w:rStyle w:val="lev"/>
          <w:rFonts w:eastAsia="Times New Roman"/>
          <w:b w:val="0"/>
          <w:bCs w:val="0"/>
        </w:rPr>
        <w:t>. Élimination et Conservation Définitive</w:t>
      </w:r>
    </w:p>
    <w:p w14:paraId="6E8EDCE9" w14:textId="77777777" w:rsidR="0059018E" w:rsidRDefault="0059018E" w:rsidP="0059018E">
      <w:pPr>
        <w:numPr>
          <w:ilvl w:val="0"/>
          <w:numId w:val="6"/>
        </w:numPr>
        <w:spacing w:before="100" w:beforeAutospacing="1" w:after="100" w:afterAutospacing="1" w:line="240" w:lineRule="auto"/>
        <w:rPr>
          <w:rFonts w:eastAsia="Times New Roman"/>
        </w:rPr>
      </w:pPr>
      <w:r>
        <w:rPr>
          <w:rFonts w:eastAsia="Times New Roman"/>
        </w:rPr>
        <w:t>Sélection des documents à éliminer selon la réglementation.</w:t>
      </w:r>
    </w:p>
    <w:p w14:paraId="79BDBECB" w14:textId="77777777" w:rsidR="0059018E" w:rsidRDefault="0059018E" w:rsidP="0059018E">
      <w:pPr>
        <w:numPr>
          <w:ilvl w:val="0"/>
          <w:numId w:val="6"/>
        </w:numPr>
        <w:spacing w:before="100" w:beforeAutospacing="1" w:after="100" w:afterAutospacing="1" w:line="240" w:lineRule="auto"/>
        <w:rPr>
          <w:rFonts w:eastAsia="Times New Roman"/>
        </w:rPr>
      </w:pPr>
      <w:r>
        <w:rPr>
          <w:rFonts w:eastAsia="Times New Roman"/>
        </w:rPr>
        <w:t>Méthodes d’élimination (déchiquetage, destruction sécurisée).</w:t>
      </w:r>
    </w:p>
    <w:p w14:paraId="1E5F1ABF" w14:textId="4F5CF050" w:rsidR="0059018E" w:rsidRPr="00091969" w:rsidRDefault="0059018E" w:rsidP="00091969">
      <w:pPr>
        <w:numPr>
          <w:ilvl w:val="0"/>
          <w:numId w:val="6"/>
        </w:numPr>
        <w:spacing w:before="100" w:beforeAutospacing="1" w:after="100" w:afterAutospacing="1" w:line="240" w:lineRule="auto"/>
        <w:rPr>
          <w:rFonts w:eastAsia="Times New Roman"/>
        </w:rPr>
      </w:pPr>
      <w:r>
        <w:rPr>
          <w:rFonts w:eastAsia="Times New Roman"/>
        </w:rPr>
        <w:t>Conservation définitive des documents ayant une valeur historique, légale ou patrimoniale.</w:t>
      </w:r>
    </w:p>
    <w:sectPr w:rsidR="0059018E" w:rsidRPr="00091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421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833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E6D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B37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F2B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D00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E08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7B"/>
    <w:rsid w:val="00091969"/>
    <w:rsid w:val="002B66FF"/>
    <w:rsid w:val="0048287B"/>
    <w:rsid w:val="004C1B6D"/>
    <w:rsid w:val="0059018E"/>
    <w:rsid w:val="00877E40"/>
    <w:rsid w:val="00A675A2"/>
    <w:rsid w:val="00B417A3"/>
    <w:rsid w:val="00B6670B"/>
    <w:rsid w:val="00CE20FC"/>
    <w:rsid w:val="00F607EE"/>
    <w:rsid w:val="00FA21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8474"/>
  <w15:chartTrackingRefBased/>
  <w15:docId w15:val="{F16CBA25-4EF8-1945-ADBD-3C781165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482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5901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8287B"/>
    <w:rPr>
      <w:rFonts w:asciiTheme="majorHAnsi" w:eastAsiaTheme="majorEastAsia" w:hAnsiTheme="majorHAnsi" w:cstheme="majorBidi"/>
      <w:color w:val="1F3763" w:themeColor="accent1" w:themeShade="7F"/>
      <w:sz w:val="24"/>
      <w:szCs w:val="24"/>
    </w:rPr>
  </w:style>
  <w:style w:type="character" w:styleId="lev">
    <w:name w:val="Strong"/>
    <w:basedOn w:val="Policepardfaut"/>
    <w:uiPriority w:val="22"/>
    <w:qFormat/>
    <w:rsid w:val="0048287B"/>
    <w:rPr>
      <w:b/>
      <w:bCs/>
    </w:rPr>
  </w:style>
  <w:style w:type="paragraph" w:styleId="NormalWeb">
    <w:name w:val="Normal (Web)"/>
    <w:basedOn w:val="Normal"/>
    <w:uiPriority w:val="99"/>
    <w:semiHidden/>
    <w:unhideWhenUsed/>
    <w:rsid w:val="0048287B"/>
    <w:pPr>
      <w:spacing w:before="100" w:beforeAutospacing="1" w:after="100" w:afterAutospacing="1" w:line="240" w:lineRule="auto"/>
    </w:pPr>
    <w:rPr>
      <w:rFonts w:ascii="Times New Roman" w:hAnsi="Times New Roman" w:cs="Times New Roman"/>
      <w:sz w:val="24"/>
      <w:szCs w:val="24"/>
    </w:rPr>
  </w:style>
  <w:style w:type="character" w:customStyle="1" w:styleId="Titre4Car">
    <w:name w:val="Titre 4 Car"/>
    <w:basedOn w:val="Policepardfaut"/>
    <w:link w:val="Titre4"/>
    <w:uiPriority w:val="9"/>
    <w:semiHidden/>
    <w:rsid w:val="0059018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9078">
      <w:bodyDiv w:val="1"/>
      <w:marLeft w:val="0"/>
      <w:marRight w:val="0"/>
      <w:marTop w:val="0"/>
      <w:marBottom w:val="0"/>
      <w:divBdr>
        <w:top w:val="none" w:sz="0" w:space="0" w:color="auto"/>
        <w:left w:val="none" w:sz="0" w:space="0" w:color="auto"/>
        <w:bottom w:val="none" w:sz="0" w:space="0" w:color="auto"/>
        <w:right w:val="none" w:sz="0" w:space="0" w:color="auto"/>
      </w:divBdr>
    </w:div>
    <w:div w:id="297541222">
      <w:bodyDiv w:val="1"/>
      <w:marLeft w:val="0"/>
      <w:marRight w:val="0"/>
      <w:marTop w:val="0"/>
      <w:marBottom w:val="0"/>
      <w:divBdr>
        <w:top w:val="none" w:sz="0" w:space="0" w:color="auto"/>
        <w:left w:val="none" w:sz="0" w:space="0" w:color="auto"/>
        <w:bottom w:val="none" w:sz="0" w:space="0" w:color="auto"/>
        <w:right w:val="none" w:sz="0" w:space="0" w:color="auto"/>
      </w:divBdr>
    </w:div>
    <w:div w:id="12199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juniornlend56@gmail.com</dc:creator>
  <cp:keywords/>
  <dc:description/>
  <cp:lastModifiedBy>Candidat</cp:lastModifiedBy>
  <cp:revision>3</cp:revision>
  <dcterms:created xsi:type="dcterms:W3CDTF">2025-03-20T11:43:00Z</dcterms:created>
  <dcterms:modified xsi:type="dcterms:W3CDTF">2025-03-20T11:43:00Z</dcterms:modified>
</cp:coreProperties>
</file>